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仿宋_GBK" w:eastAsia="方正小标宋_GBK" w:cs="方正仿宋_GBK"/>
          <w:sz w:val="44"/>
          <w:szCs w:val="44"/>
          <w:lang w:val="en-US" w:eastAsia="zh-CN"/>
        </w:rPr>
      </w:pPr>
      <w:r>
        <w:rPr>
          <w:rFonts w:hint="eastAsia" w:ascii="方正小标宋_GBK" w:hAnsi="方正仿宋_GBK" w:eastAsia="方正小标宋_GBK" w:cs="方正仿宋_GBK"/>
          <w:sz w:val="44"/>
          <w:szCs w:val="44"/>
          <w:lang w:val="en-US" w:eastAsia="zh-CN"/>
        </w:rPr>
        <w:t>2023年深圳法院收结案情况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2023年，全市法院受理各类案件和诉前化解纠纷733349件，其中诉前化解纠纷177116件；受理各类案件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556233件，办结499908件。图示如下：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仿宋_GBK" w:eastAsia="方正小标宋_GBK" w:cs="方正仿宋_GBK"/>
          <w:sz w:val="44"/>
          <w:szCs w:val="44"/>
          <w:lang w:val="en-US" w:eastAsia="zh-CN"/>
        </w:rPr>
      </w:pPr>
      <w:r>
        <w:rPr>
          <w:rFonts w:hint="eastAsia" w:ascii="方正小标宋_GBK" w:hAnsi="方正仿宋_GBK" w:eastAsia="方正小标宋_GBK" w:cs="方正仿宋_GBK"/>
          <w:sz w:val="44"/>
          <w:szCs w:val="44"/>
          <w:lang w:val="en-US" w:eastAsia="zh-CN"/>
        </w:rPr>
        <w:drawing>
          <wp:inline distT="0" distB="0" distL="114300" distR="114300">
            <wp:extent cx="5080000" cy="4086225"/>
            <wp:effectExtent l="4445" t="4445" r="20955" b="508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备注：以上数据取自2023年深圳市中级人民法院工作报告。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9698F"/>
    <w:rsid w:val="0D742798"/>
    <w:rsid w:val="3AB461A6"/>
    <w:rsid w:val="58B72281"/>
    <w:rsid w:val="5C39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800" b="1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</a:rPr>
              <a:t>2023</a:t>
            </a:r>
            <a:r>
              <a:rPr altLang="en-US" sz="1800" b="1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</a:rPr>
              <a:t>年深圳法院收结案数据</a:t>
            </a:r>
            <a:endParaRPr altLang="en-US" sz="1800" b="1">
              <a:latin typeface="黑体" panose="02010609060101010101" charset="-122"/>
              <a:ea typeface="黑体" panose="02010609060101010101" charset="-122"/>
              <a:cs typeface="黑体" panose="0201060906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502"/>
          <c:y val="0.127"/>
          <c:w val="0.927925"/>
          <c:h val="0.7165666666666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收案数量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1200">
                        <a:latin typeface="黑体" panose="02010609060101010101" charset="-122"/>
                        <a:ea typeface="黑体" panose="02010609060101010101" charset="-122"/>
                        <a:cs typeface="黑体" panose="02010609060101010101" charset="-122"/>
                      </a:rPr>
                      <a:t>177116件</a:t>
                    </a:r>
                    <a:endParaRPr sz="1200">
                      <a:latin typeface="黑体" panose="02010609060101010101" charset="-122"/>
                      <a:ea typeface="黑体" panose="02010609060101010101" charset="-122"/>
                      <a:cs typeface="黑体" panose="02010609060101010101" charset="-122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1200">
                        <a:latin typeface="黑体" panose="02010609060101010101" charset="-122"/>
                        <a:ea typeface="黑体" panose="02010609060101010101" charset="-122"/>
                        <a:cs typeface="黑体" panose="02010609060101010101" charset="-122"/>
                      </a:rPr>
                      <a:t>556233件</a:t>
                    </a:r>
                    <a:endParaRPr sz="1200">
                      <a:latin typeface="黑体" panose="02010609060101010101" charset="-122"/>
                      <a:ea typeface="黑体" panose="02010609060101010101" charset="-122"/>
                      <a:cs typeface="黑体" panose="02010609060101010101" charset="-122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诉前化解纠纷数</c:v>
                </c:pt>
                <c:pt idx="1">
                  <c:v>受理各类案件数量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177116</c:v>
                </c:pt>
                <c:pt idx="1">
                  <c:v>556233</c:v>
                </c:pt>
              </c:numCache>
            </c:numRef>
          </c:val>
        </c:ser>
        <c:ser>
          <c:idx val="2"/>
          <c:order val="2"/>
          <c:tx>
            <c:strRef>
              <c:f>Sheet1!#REF!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Sheet1!$A$2:$A$3</c:f>
              <c:strCache>
                <c:ptCount val="2"/>
                <c:pt idx="0">
                  <c:v>诉前化解纠纷数</c:v>
                </c:pt>
                <c:pt idx="1">
                  <c:v>受理各类案件数量</c:v>
                </c:pt>
              </c:strCache>
            </c:strRef>
          </c:cat>
          <c:val>
            <c:numRef>
              <c:f>Sheet1!#REF!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1697066"/>
        <c:axId val="808595666"/>
      </c:barChart>
      <c:barChart>
        <c:barDir val="col"/>
        <c:grouping val="clustere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办结数量</c:v>
                </c:pt>
              </c:strCache>
            </c:strRef>
          </c:tx>
          <c:spPr>
            <a:pattFill prst="wdDnDiag">
              <a:fgClr>
                <a:schemeClr val="accent2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.106875"/>
                  <c:y val="-0.005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1200">
                        <a:latin typeface="黑体" panose="02010609060101010101" charset="-122"/>
                        <a:ea typeface="黑体" panose="02010609060101010101" charset="-122"/>
                        <a:cs typeface="黑体" panose="02010609060101010101" charset="-122"/>
                      </a:rPr>
                      <a:t>499908件</a:t>
                    </a:r>
                    <a:endParaRPr sz="1200">
                      <a:latin typeface="黑体" panose="02010609060101010101" charset="-122"/>
                      <a:ea typeface="黑体" panose="02010609060101010101" charset="-122"/>
                      <a:cs typeface="黑体" panose="02010609060101010101" charset="-122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诉前化解纠纷数</c:v>
                </c:pt>
                <c:pt idx="1">
                  <c:v>受理各类案件数量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1">
                  <c:v>499908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1"/>
        <c:overlap val="59"/>
        <c:axId val="233330664"/>
        <c:axId val="154940058"/>
      </c:barChart>
      <c:catAx>
        <c:axId val="20169706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08595666"/>
        <c:crosses val="autoZero"/>
        <c:auto val="1"/>
        <c:lblAlgn val="ctr"/>
        <c:lblOffset val="100"/>
        <c:noMultiLvlLbl val="0"/>
      </c:catAx>
      <c:valAx>
        <c:axId val="80859566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01697066"/>
        <c:crosses val="autoZero"/>
        <c:crossBetween val="between"/>
      </c:valAx>
      <c:catAx>
        <c:axId val="233330664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54940058"/>
        <c:crosses val="autoZero"/>
        <c:auto val="1"/>
        <c:lblAlgn val="ctr"/>
        <c:lblOffset val="100"/>
        <c:noMultiLvlLbl val="0"/>
      </c:catAx>
      <c:valAx>
        <c:axId val="154940058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33330664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Office_11.8.2.12344_F1E327BC-269C-435d-A152-05C5408002CA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2025-12-09T02:58:00Z</dcterms:created>
  <dc:creator>Administrator</dc:creator>
  <cp:lastModifiedBy>Administrator</cp:lastModifiedBy>
  <dcterms:modified xsi:type="dcterms:W3CDTF">2025-12-10T02:06:34Z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2052-11.8.2.12344</vt:lpwstr>
  </property>
  <property fmtid="{D5CDD505-2E9C-101B-9397-08002B2CF9AE}" pid="3" name="ICV">
    <vt:lpwstr>B87B22E69E434C6D997C1AD975B191BE</vt:lpwstr>
  </property>
</Properties>
</file>