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s="Times New Roman"/>
          <w:sz w:val="36"/>
          <w:szCs w:val="36"/>
        </w:rPr>
      </w:pPr>
      <w:r>
        <w:rPr>
          <w:rFonts w:hint="eastAsia" w:ascii="方正小标宋简体" w:hAnsi="宋体" w:eastAsia="方正小标宋简体" w:cs="方正小标宋简体"/>
          <w:sz w:val="36"/>
          <w:szCs w:val="36"/>
        </w:rPr>
        <w:t>诉讼材料清单指引（国家赔偿）</w:t>
      </w:r>
    </w:p>
    <w:p>
      <w:pPr>
        <w:rPr>
          <w:rFonts w:ascii="方正小标宋简体" w:hAnsi="宋体" w:eastAsia="方正小标宋简体" w:cs="Times New Roman"/>
          <w:sz w:val="36"/>
          <w:szCs w:val="36"/>
        </w:rPr>
      </w:pP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尊敬的当事人，您好！</w:t>
      </w:r>
    </w:p>
    <w:p>
      <w:pPr>
        <w:rPr>
          <w:rFonts w:ascii="方正仿宋_GBK" w:hAnsi="仿宋" w:eastAsia="方正仿宋_GBK" w:cs="Times New Roman"/>
          <w:b/>
          <w:color w:val="FF0000"/>
          <w:sz w:val="36"/>
          <w:szCs w:val="36"/>
        </w:rPr>
      </w:pPr>
      <w:r>
        <w:rPr>
          <w:rFonts w:hint="eastAsia" w:ascii="方正仿宋_GBK" w:hAnsi="仿宋" w:eastAsia="方正仿宋_GBK" w:cs="Times New Roman"/>
          <w:b/>
          <w:color w:val="FF0000"/>
          <w:sz w:val="36"/>
          <w:szCs w:val="36"/>
        </w:rPr>
        <w:t>您的国家赔偿案件可在人民法院在线服务平台申请网上立案，也可选择现场或邮寄立案提交。</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请您在申请国家赔偿时准备好以下材料：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（可选择现场或邮寄立案提交，提交一份材料即可）</w:t>
      </w:r>
    </w:p>
    <w:p>
      <w:pPr>
        <w:rPr>
          <w:rFonts w:ascii="方正仿宋_GBK" w:hAnsi="仿宋" w:eastAsia="方正仿宋_GBK" w:cs="方正仿宋_GBK"/>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1.</w:t>
      </w:r>
      <w:r>
        <w:rPr>
          <w:rFonts w:hint="eastAsia" w:ascii="方正仿宋_GBK" w:hAnsi="仿宋" w:eastAsia="方正仿宋_GBK" w:cs="方正仿宋_GBK"/>
          <w:b/>
          <w:bCs/>
          <w:sz w:val="30"/>
          <w:szCs w:val="30"/>
        </w:rPr>
        <w:t>申请书原件</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①列明申请人、被申请人的基本情况；</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②具体的赔偿请求；</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③申请国家赔偿的法定情形及具体事实、理由；</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fldChar w:fldCharType="begin"/>
      </w:r>
      <w:r>
        <w:rPr>
          <w:rFonts w:hint="eastAsia" w:ascii="方正仿宋_GBK" w:hAnsi="仿宋" w:eastAsia="方正仿宋_GBK" w:cs="方正仿宋_GBK"/>
          <w:sz w:val="30"/>
          <w:szCs w:val="30"/>
        </w:rPr>
        <w:instrText xml:space="preserve"> = 4 \* GB3 </w:instrText>
      </w:r>
      <w:r>
        <w:rPr>
          <w:rFonts w:hint="eastAsia"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④</w:t>
      </w:r>
      <w:r>
        <w:rPr>
          <w:rFonts w:hint="eastAsia"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申请人签名、捺印或者盖章；</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fldChar w:fldCharType="begin"/>
      </w:r>
      <w:r>
        <w:rPr>
          <w:rFonts w:hint="eastAsia" w:ascii="方正仿宋_GBK" w:hAnsi="仿宋" w:eastAsia="方正仿宋_GBK" w:cs="方正仿宋_GBK"/>
          <w:sz w:val="30"/>
          <w:szCs w:val="30"/>
        </w:rPr>
        <w:instrText xml:space="preserve"> = 5 \* GB3 </w:instrText>
      </w:r>
      <w:r>
        <w:rPr>
          <w:rFonts w:hint="eastAsia"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⑤</w:t>
      </w:r>
      <w:r>
        <w:rPr>
          <w:rFonts w:hint="eastAsia"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 xml:space="preserve">递交申请书的日期。 </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2.</w:t>
      </w:r>
      <w:r>
        <w:rPr>
          <w:rFonts w:hint="eastAsia" w:ascii="方正仿宋_GBK" w:hAnsi="仿宋" w:eastAsia="方正仿宋_GBK" w:cs="方正仿宋_GBK"/>
          <w:b/>
          <w:bCs/>
          <w:sz w:val="30"/>
          <w:szCs w:val="30"/>
        </w:rPr>
        <w:t>当事人主体资格证明材料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、当事人是自然人的：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居民身份证、深圳市居住证、户口簿、护照或港澳同胞回乡证等有效证件复印件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经常居住地证明：由居委会或公安局派出所出具的居住证明，证明当事人从某年某月某日至今一直居住在本院辖区，已居住满一年</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、当事人是法人或其他组织的：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①法定代表人（负责人）身份证明书原件，法定代表人（负责人）身份证复印件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②营业执照复印件或工商注册登记查询证明</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当事人为</w:t>
      </w:r>
      <w:r>
        <w:rPr>
          <w:rFonts w:hint="eastAsia" w:ascii="方正仿宋_GBK" w:hAnsi="仿宋" w:eastAsia="方正仿宋_GBK" w:cs="方正仿宋_GBK"/>
          <w:b/>
          <w:bCs/>
          <w:color w:val="FF0000"/>
          <w:sz w:val="30"/>
          <w:szCs w:val="30"/>
        </w:rPr>
        <w:t>涉外、涉港澳台</w:t>
      </w:r>
      <w:r>
        <w:rPr>
          <w:rFonts w:hint="eastAsia" w:ascii="方正仿宋_GBK" w:hAnsi="仿宋" w:eastAsia="方正仿宋_GBK" w:cs="方正仿宋_GBK"/>
          <w:sz w:val="30"/>
          <w:szCs w:val="30"/>
        </w:rPr>
        <w:t>主体时，须提交经公证部门公证、认证的主体材料</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3.</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当事人的委托代理材料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1</w:t>
      </w:r>
      <w:r>
        <w:rPr>
          <w:rFonts w:hint="eastAsia" w:ascii="方正仿宋_GBK" w:hAnsi="仿宋" w:eastAsia="方正仿宋_GBK" w:cs="方正仿宋_GBK"/>
          <w:sz w:val="30"/>
          <w:szCs w:val="30"/>
        </w:rPr>
        <w:t>）授权委托书原件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授权委托书，请注明一般授权或特别授权及相应权限。</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原告为涉外、涉港澳台主体时，须提交经公证部门公证、认证的授权委托书，</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或在本院工作人员前签署的授权委托书。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2</w:t>
      </w:r>
      <w:r>
        <w:rPr>
          <w:rFonts w:hint="eastAsia" w:ascii="方正仿宋_GBK" w:hAnsi="仿宋" w:eastAsia="方正仿宋_GBK" w:cs="方正仿宋_GBK"/>
          <w:sz w:val="30"/>
          <w:szCs w:val="30"/>
        </w:rPr>
        <w:t>）代理人资格证明材料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、律师代理的，应提交以下材料：</w:t>
      </w:r>
    </w:p>
    <w:p>
      <w:pPr>
        <w:rPr>
          <w:rFonts w:ascii="方正仿宋_GBK" w:hAnsi="仿宋" w:eastAsia="方正仿宋_GBK" w:cs="Times New Roman"/>
          <w:color w:val="FF0000"/>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①律师事务所所函原件</w:t>
      </w:r>
      <w:r>
        <w:rPr>
          <w:rFonts w:hint="eastAsia" w:ascii="方正仿宋_GBK" w:hAnsi="仿宋" w:eastAsia="方正仿宋_GBK" w:cs="方正仿宋_GBK"/>
          <w:color w:val="FF0000"/>
          <w:sz w:val="30"/>
          <w:szCs w:val="30"/>
        </w:rPr>
        <w:t>（载明当事人名称、案由，不得以介绍信代替）</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②律师执业证复印件（</w:t>
      </w:r>
      <w:r>
        <w:rPr>
          <w:rFonts w:hint="eastAsia" w:ascii="方正仿宋_GBK" w:hAnsi="仿宋" w:eastAsia="方正仿宋_GBK" w:cs="方正仿宋_GBK"/>
          <w:color w:val="FF0000"/>
          <w:sz w:val="30"/>
          <w:szCs w:val="30"/>
        </w:rPr>
        <w:t>验原件，律师证或者实习律师证过期、换证等期间无法立案</w:t>
      </w:r>
      <w:r>
        <w:rPr>
          <w:rFonts w:hint="eastAsia" w:ascii="方正仿宋_GBK" w:hAnsi="仿宋" w:eastAsia="方正仿宋_GBK" w:cs="方正仿宋_GBK"/>
          <w:sz w:val="30"/>
          <w:szCs w:val="30"/>
        </w:rPr>
        <w:t>）</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、基层法律服务工作者代理的须符合</w:t>
      </w:r>
      <w:r>
        <w:rPr>
          <w:rFonts w:hint="eastAsia" w:ascii="方正仿宋_GBK" w:hAnsi="仿宋" w:eastAsia="方正仿宋_GBK" w:cs="方正仿宋_GBK"/>
          <w:color w:val="FF0000"/>
          <w:sz w:val="30"/>
          <w:szCs w:val="30"/>
        </w:rPr>
        <w:t>《基层法律服务工作者管理办法》第二十七条</w:t>
      </w:r>
      <w:r>
        <w:rPr>
          <w:rFonts w:hint="eastAsia" w:ascii="方正仿宋_GBK" w:hAnsi="仿宋" w:eastAsia="方正仿宋_GBK" w:cs="方正仿宋_GBK"/>
          <w:sz w:val="30"/>
          <w:szCs w:val="30"/>
        </w:rPr>
        <w:t>之规定，同时应提交以下材料：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①基层法律服务所出具的介绍信原件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②法律服务工作者执业证复印件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③当事人的委托书</w:t>
      </w:r>
    </w:p>
    <w:p>
      <w:pPr>
        <w:rPr>
          <w:rFonts w:ascii="方正仿宋_GBK" w:hAnsi="仿宋" w:eastAsia="方正仿宋_GBK" w:cs="Times New Roman"/>
          <w:sz w:val="30"/>
          <w:szCs w:val="30"/>
        </w:rPr>
      </w:pP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、近亲属或监护人代理的，应提交以下材料：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①户口簿复印件，或有关部门出具的亲属关系证明原件</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、员工代理其所在单位的，应提交以下材料：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①加盖单位公章的员工证明书原件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E</w:t>
      </w:r>
      <w:r>
        <w:rPr>
          <w:rFonts w:hint="eastAsia" w:ascii="方正仿宋_GBK" w:hAnsi="仿宋" w:eastAsia="方正仿宋_GBK" w:cs="方正仿宋_GBK"/>
          <w:sz w:val="30"/>
          <w:szCs w:val="30"/>
        </w:rPr>
        <w:t>、公民代理的，应提交以下材料：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①代理人身份证复印件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②当事人所在社区、单位推荐的公民担任诉讼代理人的，应当提交推荐材料和当事人属于该社区、单位的证明材料原件</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③有关社会团体推荐的公民担任诉讼代理人的，应当符合下列条件：</w:t>
      </w: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社会团体属于依法登记设立或者依法免予登记设立的非营利性法人组织；</w:t>
      </w: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被代理人属于该社会团体的成员，或者当事人一方住所地位于该社会团体的活动地域；</w:t>
      </w: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代理事务属于该社会团体章程载明的业务范围；</w:t>
      </w: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被推荐的公民是该社会团体的负责人或者与该社会团体有合法劳动人事关系的工作人员。</w:t>
      </w:r>
      <w:r>
        <w:rPr>
          <w:rFonts w:ascii="方正仿宋_GBK" w:hAnsi="仿宋" w:eastAsia="方正仿宋_GBK" w:cs="方正仿宋_GBK"/>
          <w:sz w:val="30"/>
          <w:szCs w:val="30"/>
        </w:rPr>
        <w:t xml:space="preserve"> </w:t>
      </w:r>
    </w:p>
    <w:p>
      <w:pPr>
        <w:rPr>
          <w:rFonts w:ascii="方正仿宋_GBK" w:hAnsi="仿宋" w:eastAsia="方正仿宋_GBK" w:cs="方正仿宋_GBK"/>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4.</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sz w:val="30"/>
          <w:szCs w:val="30"/>
        </w:rPr>
        <w:t>决定书、复议决定书</w:t>
      </w:r>
      <w:r>
        <w:rPr>
          <w:rFonts w:hint="eastAsia" w:ascii="方正仿宋_GBK" w:hAnsi="仿宋" w:eastAsia="方正仿宋_GBK" w:cs="方正仿宋_GBK"/>
          <w:b/>
          <w:bCs/>
          <w:sz w:val="30"/>
          <w:szCs w:val="30"/>
        </w:rPr>
        <w:t>复印件；</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□5.证据材料</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 ①赔偿请求人对作为赔偿义务机关的人民法院作出的是否赔偿的决定不服的，应提交赔偿义务机关作出的是否赔偿的决定书；</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 ②作为赔偿义务机关的人民法院逾期未作出是否赔偿的决定，赔偿请求人依照国家赔偿法第二十四条的规定向其上一级人民法院赔偿委员会提出赔偿申请的，应提交有赔偿义务机关已经收到赔偿申请的收讫凭证或者相应证据；</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 ③赔偿请求人对行使侦查、检察职权的机关以及看守所、监狱管理机关作出的决定不服，经向其上一级机关申请复议，对复议机关的复议决定仍不服，依照国家赔偿法第二十五条的规定向复议机关所在地的同级人民法院赔偿委员会提出赔偿申请的，应提交复议机关的复议决定书；</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 ④复议机关逾期未作出复议决定，赔偿请求人依照国家赔偿法第二十五条的规定向复议机关所在地的同级人民法院赔偿委员会提出赔偿申请的，应提交有赔偿义务机关、复议机关已经收到赔偿申请的收讫凭证或者相应证据；</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6</w:t>
      </w:r>
      <w:r>
        <w:rPr>
          <w:rFonts w:ascii="方正仿宋_GBK" w:hAnsi="仿宋" w:eastAsia="方正仿宋_GBK" w:cs="方正仿宋_GBK"/>
          <w:b/>
          <w:bCs/>
          <w:sz w:val="30"/>
          <w:szCs w:val="30"/>
        </w:rPr>
        <w:t>.</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证据材料清单</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详细列明所提交材料的名称、页数，并在备注栏注明各项材料是原件或复印件及证明内容</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7</w:t>
      </w:r>
      <w:r>
        <w:rPr>
          <w:rFonts w:ascii="方正仿宋_GBK" w:hAnsi="仿宋" w:eastAsia="方正仿宋_GBK" w:cs="方正仿宋_GBK"/>
          <w:b/>
          <w:bCs/>
          <w:sz w:val="30"/>
          <w:szCs w:val="30"/>
        </w:rPr>
        <w:t>.</w:t>
      </w:r>
      <w:r>
        <w:rPr>
          <w:rFonts w:hint="eastAsia" w:ascii="方正仿宋_GBK" w:hAnsi="仿宋" w:eastAsia="方正仿宋_GBK" w:cs="方正仿宋_GBK"/>
          <w:b/>
          <w:bCs/>
          <w:sz w:val="30"/>
          <w:szCs w:val="30"/>
        </w:rPr>
        <w:t>原告（申请人）诉讼文书送达地址确认书、原告（申请人）提供被告（被申请人）送达地址线索书、诚信诉讼承诺书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从</w:t>
      </w:r>
      <w:r>
        <w:rPr>
          <w:rFonts w:hint="eastAsia" w:ascii="方正仿宋_GBK" w:hAnsi="仿宋" w:eastAsia="方正仿宋_GBK" w:cs="方正仿宋_GBK"/>
          <w:color w:val="FF0000"/>
          <w:sz w:val="30"/>
          <w:szCs w:val="30"/>
        </w:rPr>
        <w:t>本院官网及本院微信公众号</w:t>
      </w:r>
      <w:r>
        <w:rPr>
          <w:rFonts w:hint="eastAsia" w:ascii="方正仿宋_GBK" w:hAnsi="仿宋" w:eastAsia="方正仿宋_GBK" w:cs="方正仿宋_GBK"/>
          <w:sz w:val="30"/>
          <w:szCs w:val="30"/>
        </w:rPr>
        <w:t>下载相应文书模板，详细填写各方当事人的联系地址及联系方式并签字确认。当事人联系信息真实填写，一般不得与代理人联系信息雷同（</w:t>
      </w:r>
      <w:r>
        <w:rPr>
          <w:rFonts w:hint="eastAsia" w:ascii="方正仿宋_GBK" w:hAnsi="仿宋" w:eastAsia="方正仿宋_GBK" w:cs="方正仿宋_GBK"/>
          <w:color w:val="FF0000"/>
          <w:sz w:val="30"/>
          <w:szCs w:val="30"/>
        </w:rPr>
        <w:t>近亲属代理的除外</w:t>
      </w:r>
      <w:r>
        <w:rPr>
          <w:rFonts w:hint="eastAsia" w:ascii="方正仿宋_GBK" w:hAnsi="仿宋" w:eastAsia="方正仿宋_GBK" w:cs="方正仿宋_GBK"/>
          <w:sz w:val="30"/>
          <w:szCs w:val="30"/>
        </w:rPr>
        <w:t>）。</w:t>
      </w:r>
    </w:p>
    <w:p>
      <w:pPr>
        <w:pStyle w:val="9"/>
        <w:numPr>
          <w:ilvl w:val="0"/>
          <w:numId w:val="1"/>
        </w:numPr>
        <w:ind w:firstLineChars="0"/>
        <w:rPr>
          <w:rFonts w:cs="Times New Roman"/>
        </w:rPr>
      </w:pPr>
      <w:r>
        <w:rPr>
          <w:rFonts w:hint="eastAsia" w:ascii="方正仿宋_GBK" w:hAnsi="仿宋" w:eastAsia="方正仿宋_GBK" w:cs="方正仿宋_GBK"/>
          <w:b/>
          <w:bCs/>
          <w:sz w:val="30"/>
          <w:szCs w:val="30"/>
        </w:rPr>
        <w:t>8</w:t>
      </w:r>
      <w:r>
        <w:rPr>
          <w:rFonts w:ascii="方正仿宋_GBK" w:hAnsi="仿宋" w:eastAsia="方正仿宋_GBK" w:cs="方正仿宋_GBK"/>
          <w:b/>
          <w:bCs/>
          <w:sz w:val="30"/>
          <w:szCs w:val="30"/>
        </w:rPr>
        <w:t>.</w:t>
      </w:r>
      <w:r>
        <w:rPr>
          <w:rFonts w:hint="eastAsia" w:ascii="方正仿宋_GBK" w:hAnsi="仿宋" w:eastAsia="方正仿宋_GBK" w:cs="方正仿宋_GBK"/>
          <w:b/>
          <w:bCs/>
          <w:sz w:val="30"/>
          <w:szCs w:val="30"/>
        </w:rPr>
        <w:t>管辖证明材料（或书面说明）</w:t>
      </w:r>
    </w:p>
    <w:p>
      <w:pPr>
        <w:pStyle w:val="9"/>
        <w:ind w:left="360" w:firstLine="0" w:firstLineChars="0"/>
        <w:rPr>
          <w:rFonts w:hint="eastAsia" w:ascii="仿宋_GB2312" w:hAnsi="仿宋" w:eastAsia="仿宋_GB2312" w:cs="方正仿宋_GBK"/>
          <w:b/>
          <w:bCs/>
          <w:sz w:val="30"/>
          <w:szCs w:val="30"/>
        </w:rPr>
      </w:pPr>
    </w:p>
    <w:p>
      <w:pPr>
        <w:pStyle w:val="9"/>
        <w:ind w:left="360" w:firstLine="0" w:firstLineChars="0"/>
        <w:rPr>
          <w:rFonts w:hint="eastAsia" w:ascii="仿宋_GB2312" w:hAnsi="仿宋" w:eastAsia="仿宋_GB2312" w:cs="方正仿宋_GBK"/>
          <w:b/>
          <w:bCs/>
          <w:sz w:val="30"/>
          <w:szCs w:val="30"/>
        </w:rPr>
      </w:pPr>
    </w:p>
    <w:p>
      <w:pPr>
        <w:pStyle w:val="9"/>
        <w:ind w:left="360" w:firstLine="0" w:firstLineChars="0"/>
        <w:rPr>
          <w:rFonts w:ascii="仿宋_GB2312" w:hAnsi="仿宋" w:eastAsia="仿宋_GB2312" w:cs="方正仿宋_GBK"/>
          <w:b/>
          <w:bCs/>
          <w:sz w:val="30"/>
          <w:szCs w:val="30"/>
        </w:rPr>
      </w:pPr>
      <w:bookmarkStart w:id="0" w:name="_GoBack"/>
      <w:bookmarkEnd w:id="0"/>
      <w:r>
        <w:rPr>
          <w:rFonts w:hint="eastAsia" w:ascii="仿宋_GB2312" w:hAnsi="仿宋" w:eastAsia="仿宋_GB2312" w:cs="方正仿宋_GBK"/>
          <w:b/>
          <w:bCs/>
          <w:sz w:val="30"/>
          <w:szCs w:val="30"/>
        </w:rPr>
        <w:t>常见不予受理的情形：</w:t>
      </w:r>
    </w:p>
    <w:p>
      <w:pPr>
        <w:pStyle w:val="9"/>
        <w:ind w:left="360" w:firstLine="0" w:firstLineChars="0"/>
        <w:rPr>
          <w:rFonts w:ascii="方正仿宋_GBK" w:hAnsi="仿宋" w:eastAsia="方正仿宋_GBK" w:cs="方正仿宋_GBK"/>
          <w:sz w:val="30"/>
          <w:szCs w:val="30"/>
        </w:rPr>
      </w:pPr>
      <w:r>
        <w:rPr>
          <w:rFonts w:hint="eastAsia" w:ascii="方正仿宋_GBK" w:hAnsi="仿宋" w:eastAsia="方正仿宋_GBK" w:cs="方正仿宋_GBK"/>
          <w:sz w:val="30"/>
          <w:szCs w:val="30"/>
        </w:rPr>
        <w:t>（1）人民法院工作人员依职权例行检查、维持庭审等日常工作行为，当事人认为给自身造成不良影响的，不属于国家赔偿受理范围，确有不当行为的，另循其他途径反映解决</w:t>
      </w:r>
    </w:p>
    <w:p>
      <w:pPr>
        <w:pStyle w:val="9"/>
        <w:ind w:left="360" w:firstLine="0" w:firstLineChars="0"/>
        <w:rPr>
          <w:rFonts w:ascii="方正仿宋_GBK" w:hAnsi="仿宋" w:eastAsia="方正仿宋_GBK" w:cs="方正仿宋_GBK"/>
          <w:sz w:val="30"/>
          <w:szCs w:val="30"/>
        </w:rPr>
      </w:pPr>
      <w:r>
        <w:rPr>
          <w:rFonts w:hint="eastAsia" w:ascii="方正仿宋_GBK" w:hAnsi="仿宋" w:eastAsia="方正仿宋_GBK" w:cs="方正仿宋_GBK"/>
          <w:sz w:val="30"/>
          <w:szCs w:val="30"/>
        </w:rPr>
        <w:t>（2）当事人或案外人认为生效法律文书的裁判结果损害自身利益的，不能直接受理国家赔偿申请。可以先依法向有管辖权的法院或检察机关提出异议诉求或建议，如民事再审、刑事申诉、撤销仲裁裁决、第三人撤销之诉等法律程序诉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703D1"/>
    <w:multiLevelType w:val="multilevel"/>
    <w:tmpl w:val="2A0703D1"/>
    <w:lvl w:ilvl="0" w:tentative="0">
      <w:start w:val="0"/>
      <w:numFmt w:val="bullet"/>
      <w:lvlText w:val="□"/>
      <w:lvlJc w:val="left"/>
      <w:pPr>
        <w:ind w:left="360" w:hanging="360"/>
      </w:pPr>
      <w:rPr>
        <w:rFonts w:hint="eastAsia" w:ascii="方正仿宋_GBK" w:hAnsi="仿宋" w:eastAsia="方正仿宋_GBK"/>
        <w:b/>
        <w:bCs/>
        <w:sz w:val="30"/>
        <w:szCs w:val="3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5FD1"/>
    <w:rsid w:val="00027859"/>
    <w:rsid w:val="00050F76"/>
    <w:rsid w:val="000840F6"/>
    <w:rsid w:val="000A03A0"/>
    <w:rsid w:val="000A329F"/>
    <w:rsid w:val="000B49DE"/>
    <w:rsid w:val="000E45A9"/>
    <w:rsid w:val="000F1F1C"/>
    <w:rsid w:val="00102AE3"/>
    <w:rsid w:val="00125CAE"/>
    <w:rsid w:val="001450F7"/>
    <w:rsid w:val="0015626A"/>
    <w:rsid w:val="001C468E"/>
    <w:rsid w:val="001C499A"/>
    <w:rsid w:val="001F0CAF"/>
    <w:rsid w:val="002437F7"/>
    <w:rsid w:val="002572FA"/>
    <w:rsid w:val="002D563A"/>
    <w:rsid w:val="002E4039"/>
    <w:rsid w:val="002E5259"/>
    <w:rsid w:val="00321425"/>
    <w:rsid w:val="00331778"/>
    <w:rsid w:val="003878CF"/>
    <w:rsid w:val="004378D8"/>
    <w:rsid w:val="00447F8A"/>
    <w:rsid w:val="004567F3"/>
    <w:rsid w:val="00467CD2"/>
    <w:rsid w:val="004C3B77"/>
    <w:rsid w:val="004D7A63"/>
    <w:rsid w:val="00536B8A"/>
    <w:rsid w:val="0054589C"/>
    <w:rsid w:val="0056005F"/>
    <w:rsid w:val="005860DF"/>
    <w:rsid w:val="005A4074"/>
    <w:rsid w:val="005F2940"/>
    <w:rsid w:val="0060177D"/>
    <w:rsid w:val="006366EC"/>
    <w:rsid w:val="00641228"/>
    <w:rsid w:val="00660E09"/>
    <w:rsid w:val="006E7EA3"/>
    <w:rsid w:val="00723F77"/>
    <w:rsid w:val="00732C50"/>
    <w:rsid w:val="00765FD1"/>
    <w:rsid w:val="007B7BE7"/>
    <w:rsid w:val="007F17BD"/>
    <w:rsid w:val="007F5FA0"/>
    <w:rsid w:val="008132D1"/>
    <w:rsid w:val="00834797"/>
    <w:rsid w:val="00892C88"/>
    <w:rsid w:val="00893E6C"/>
    <w:rsid w:val="008B2E00"/>
    <w:rsid w:val="008E5F03"/>
    <w:rsid w:val="008E6391"/>
    <w:rsid w:val="009A2118"/>
    <w:rsid w:val="009E4F8F"/>
    <w:rsid w:val="00A37DC1"/>
    <w:rsid w:val="00A73135"/>
    <w:rsid w:val="00AA580A"/>
    <w:rsid w:val="00AE5A10"/>
    <w:rsid w:val="00B30363"/>
    <w:rsid w:val="00B778F6"/>
    <w:rsid w:val="00B8340E"/>
    <w:rsid w:val="00BE09FD"/>
    <w:rsid w:val="00C22DD9"/>
    <w:rsid w:val="00D23FE9"/>
    <w:rsid w:val="00DC161D"/>
    <w:rsid w:val="00E275D7"/>
    <w:rsid w:val="00E3572C"/>
    <w:rsid w:val="00E81787"/>
    <w:rsid w:val="00EB2ABC"/>
    <w:rsid w:val="00EF6970"/>
    <w:rsid w:val="00F17EE9"/>
    <w:rsid w:val="00F20BC8"/>
    <w:rsid w:val="00F25486"/>
    <w:rsid w:val="00F33798"/>
    <w:rsid w:val="00F43E82"/>
    <w:rsid w:val="00F671AB"/>
    <w:rsid w:val="00FC5A2F"/>
    <w:rsid w:val="1A0844FD"/>
    <w:rsid w:val="22FB47DD"/>
    <w:rsid w:val="3F3C29B5"/>
    <w:rsid w:val="44696908"/>
    <w:rsid w:val="7FBA595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widowControl w:val="0"/>
      <w:tabs>
        <w:tab w:val="center" w:pos="4153"/>
        <w:tab w:val="right" w:pos="8306"/>
      </w:tabs>
      <w:snapToGrid w:val="0"/>
    </w:pPr>
    <w:rPr>
      <w:kern w:val="2"/>
      <w:sz w:val="18"/>
      <w:szCs w:val="18"/>
    </w:rPr>
  </w:style>
  <w:style w:type="paragraph" w:styleId="3">
    <w:name w:val="header"/>
    <w:basedOn w:val="1"/>
    <w:link w:val="7"/>
    <w:qFormat/>
    <w:uiPriority w:val="99"/>
    <w:pPr>
      <w:widowControl w:val="0"/>
      <w:pBdr>
        <w:bottom w:val="single" w:color="auto" w:sz="6" w:space="1"/>
      </w:pBdr>
      <w:tabs>
        <w:tab w:val="center" w:pos="4153"/>
        <w:tab w:val="right" w:pos="8306"/>
      </w:tabs>
      <w:snapToGrid w:val="0"/>
      <w:jc w:val="center"/>
    </w:pPr>
    <w:rPr>
      <w:kern w:val="2"/>
      <w:sz w:val="18"/>
      <w:szCs w:val="18"/>
    </w:rPr>
  </w:style>
  <w:style w:type="character" w:styleId="6">
    <w:name w:val="Hyperlink"/>
    <w:qFormat/>
    <w:uiPriority w:val="99"/>
    <w:rPr>
      <w:color w:val="0000FF"/>
      <w:u w:val="single"/>
    </w:rPr>
  </w:style>
  <w:style w:type="character" w:customStyle="1" w:styleId="7">
    <w:name w:val="页眉 Char"/>
    <w:link w:val="3"/>
    <w:qFormat/>
    <w:locked/>
    <w:uiPriority w:val="99"/>
    <w:rPr>
      <w:sz w:val="18"/>
      <w:szCs w:val="18"/>
    </w:rPr>
  </w:style>
  <w:style w:type="character" w:customStyle="1" w:styleId="8">
    <w:name w:val="页脚 Char"/>
    <w:link w:val="2"/>
    <w:qFormat/>
    <w:locked/>
    <w:uiPriority w:val="99"/>
    <w:rPr>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admin</Company>
  <Pages>5</Pages>
  <Words>292</Words>
  <Characters>1667</Characters>
  <Lines>13</Lines>
  <Paragraphs>3</Paragraphs>
  <TotalTime>0</TotalTime>
  <ScaleCrop>false</ScaleCrop>
  <LinksUpToDate>false</LinksUpToDate>
  <CharactersWithSpaces>1956</CharactersWithSpaces>
  <Application>WPS Office_11.8.2.12380_F1E327BC-269C-435d-A152-05C5408002CA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2018-11-22T17:35:00Z</dcterms:created>
  <dc:creator>郭敏君</dc:creator>
  <cp:lastModifiedBy>luoyingJ30</cp:lastModifiedBy>
  <cp:lastPrinted>2023-07-24T10:40:00Z</cp:lastPrinted>
  <dcterms:modified xsi:type="dcterms:W3CDTF">2025-10-31T18:25:21Z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2052-11.8.2.12380</vt:lpwstr>
  </property>
  <property fmtid="{D5CDD505-2E9C-101B-9397-08002B2CF9AE}" pid="3" name="ICV">
    <vt:lpwstr>6EA197E69700413B89AA5BA5465B8EF0</vt:lpwstr>
  </property>
</Properties>
</file>