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宋体" w:eastAsia="方正小标宋简体" w:cs="方正小标宋简体"/>
          <w:sz w:val="36"/>
          <w:szCs w:val="36"/>
        </w:rPr>
      </w:pPr>
      <w:r>
        <w:rPr>
          <w:rFonts w:hint="eastAsia" w:ascii="方正小标宋简体" w:hAnsi="宋体" w:eastAsia="方正小标宋简体" w:cs="方正小标宋简体"/>
          <w:sz w:val="36"/>
          <w:szCs w:val="36"/>
        </w:rPr>
        <w:t>诉讼材料清单指引（民商事一审）</w:t>
      </w:r>
    </w:p>
    <w:p>
      <w:pPr>
        <w:jc w:val="center"/>
        <w:rPr>
          <w:rFonts w:hint="eastAsia" w:ascii="方正小标宋简体" w:hAnsi="宋体" w:eastAsia="方正小标宋简体" w:cs="方正小标宋简体"/>
          <w:sz w:val="36"/>
          <w:szCs w:val="36"/>
        </w:rPr>
      </w:pPr>
      <w:bookmarkStart w:id="0" w:name="_GoBack"/>
      <w:bookmarkEnd w:id="0"/>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尊敬的当事人，您好！</w:t>
      </w:r>
    </w:p>
    <w:p>
      <w:pPr>
        <w:rPr>
          <w:rFonts w:hint="eastAsia" w:ascii="方正仿宋_GBK" w:hAnsi="仿宋" w:eastAsia="方正仿宋_GBK" w:cs="Times New Roman"/>
          <w:b/>
          <w:color w:val="FF0000"/>
          <w:sz w:val="36"/>
          <w:szCs w:val="36"/>
        </w:rPr>
      </w:pPr>
      <w:r>
        <w:rPr>
          <w:rFonts w:hint="eastAsia" w:ascii="方正仿宋_GBK" w:hAnsi="仿宋" w:eastAsia="方正仿宋_GBK" w:cs="Times New Roman"/>
          <w:b/>
          <w:color w:val="FF0000"/>
          <w:sz w:val="36"/>
          <w:szCs w:val="36"/>
        </w:rPr>
        <w:t>您的民商事一审案件可在人民法院在线服务平台申请网上立案，也可选择现场或邮寄立案提交。</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请您在起诉时准备好以下材料：</w:t>
      </w:r>
    </w:p>
    <w:p>
      <w:pPr>
        <w:rPr>
          <w:rFonts w:ascii="方正仿宋_GBK" w:hAnsi="仿宋" w:eastAsia="方正仿宋_GBK" w:cs="方正仿宋_GBK"/>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1.</w:t>
      </w:r>
      <w:r>
        <w:rPr>
          <w:rFonts w:hint="eastAsia" w:ascii="方正仿宋_GBK" w:hAnsi="仿宋" w:eastAsia="方正仿宋_GBK" w:cs="方正仿宋_GBK"/>
          <w:b/>
          <w:bCs/>
          <w:sz w:val="30"/>
          <w:szCs w:val="30"/>
        </w:rPr>
        <w:t>民事起诉状原件</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2.</w:t>
      </w:r>
      <w:r>
        <w:rPr>
          <w:rFonts w:hint="eastAsia" w:ascii="方正仿宋_GBK" w:hAnsi="仿宋" w:eastAsia="方正仿宋_GBK" w:cs="方正仿宋_GBK"/>
          <w:b/>
          <w:bCs/>
          <w:sz w:val="30"/>
          <w:szCs w:val="30"/>
        </w:rPr>
        <w:t>当事人主体资格证明材料</w:t>
      </w: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、当事人是自然人的：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□居民身份证、深圳市居住证、户口簿、护照或港澳同胞回乡证等有效证件复印件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□经常居住地证明：由居委会或公安局派出所出具的居住证明，证明当事人从某年某月某日至今一直居住在本院辖区，已居住满一年</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、当事人是法人或其他组织的：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□①法定代表人（负责人）身份证明书原件，法定代表人（负责人）身份证复印件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□②营业执照复印件或工商注册登记查询证明</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当事人为</w:t>
      </w:r>
      <w:r>
        <w:rPr>
          <w:rFonts w:hint="eastAsia" w:ascii="方正仿宋_GBK" w:hAnsi="仿宋" w:eastAsia="方正仿宋_GBK" w:cs="方正仿宋_GBK"/>
          <w:b/>
          <w:bCs/>
          <w:color w:val="FF0000"/>
          <w:sz w:val="30"/>
          <w:szCs w:val="30"/>
        </w:rPr>
        <w:t>涉外、涉港澳台</w:t>
      </w:r>
      <w:r>
        <w:rPr>
          <w:rFonts w:hint="eastAsia" w:ascii="方正仿宋_GBK" w:hAnsi="仿宋" w:eastAsia="方正仿宋_GBK" w:cs="方正仿宋_GBK"/>
          <w:color w:val="FF0000"/>
          <w:sz w:val="30"/>
          <w:szCs w:val="30"/>
        </w:rPr>
        <w:t>或证券虚假陈述纠纷案件</w:t>
      </w:r>
      <w:r>
        <w:rPr>
          <w:rFonts w:hint="eastAsia" w:ascii="方正仿宋_GBK" w:hAnsi="仿宋" w:eastAsia="方正仿宋_GBK" w:cs="方正仿宋_GBK"/>
          <w:sz w:val="30"/>
          <w:szCs w:val="30"/>
        </w:rPr>
        <w:t>主体时，须提交经公证部门公证、认证的主体材料</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3.</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b/>
          <w:bCs/>
          <w:sz w:val="30"/>
          <w:szCs w:val="30"/>
        </w:rPr>
        <w:t>当事人的委托代理材料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1</w:t>
      </w:r>
      <w:r>
        <w:rPr>
          <w:rFonts w:hint="eastAsia" w:ascii="方正仿宋_GBK" w:hAnsi="仿宋" w:eastAsia="方正仿宋_GBK" w:cs="方正仿宋_GBK"/>
          <w:sz w:val="30"/>
          <w:szCs w:val="30"/>
        </w:rPr>
        <w:t>）授权委托书原件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□授权委托书，请注明一般授权或特别授权及相应权限。</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原告为涉外、涉港澳台主体时，须提交经公证部门公证、认证的授权委托书，或在本院工作人员前签署的授权委托书。</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2</w:t>
      </w:r>
      <w:r>
        <w:rPr>
          <w:rFonts w:hint="eastAsia" w:ascii="方正仿宋_GBK" w:hAnsi="仿宋" w:eastAsia="方正仿宋_GBK" w:cs="方正仿宋_GBK"/>
          <w:sz w:val="30"/>
          <w:szCs w:val="30"/>
        </w:rPr>
        <w:t>）代理人资格证明材料</w:t>
      </w: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、律师代理的，应提交以下材料：</w:t>
      </w:r>
    </w:p>
    <w:p>
      <w:pPr>
        <w:rPr>
          <w:rFonts w:ascii="方正仿宋_GBK" w:hAnsi="仿宋" w:eastAsia="方正仿宋_GBK" w:cs="Times New Roman"/>
          <w:color w:val="FF0000"/>
          <w:sz w:val="30"/>
          <w:szCs w:val="30"/>
        </w:rPr>
      </w:pPr>
      <w:r>
        <w:rPr>
          <w:rFonts w:hint="eastAsia" w:ascii="方正仿宋_GBK" w:hAnsi="仿宋" w:eastAsia="方正仿宋_GBK" w:cs="方正仿宋_GBK"/>
          <w:sz w:val="30"/>
          <w:szCs w:val="30"/>
        </w:rPr>
        <w:t>□①律师事务所所函原件</w:t>
      </w:r>
      <w:r>
        <w:rPr>
          <w:rFonts w:hint="eastAsia" w:ascii="方正仿宋_GBK" w:hAnsi="仿宋" w:eastAsia="方正仿宋_GBK" w:cs="方正仿宋_GBK"/>
          <w:color w:val="FF0000"/>
          <w:sz w:val="30"/>
          <w:szCs w:val="30"/>
        </w:rPr>
        <w:t>（载明当事人名称、案由，不得以介绍信代替）</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□②律师执业证复印件（</w:t>
      </w:r>
      <w:r>
        <w:rPr>
          <w:rFonts w:hint="eastAsia" w:ascii="方正仿宋_GBK" w:hAnsi="仿宋" w:eastAsia="方正仿宋_GBK" w:cs="方正仿宋_GBK"/>
          <w:color w:val="FF0000"/>
          <w:sz w:val="30"/>
          <w:szCs w:val="30"/>
        </w:rPr>
        <w:t>验原件，律师证或者实习律师证过期、换证等期间无法立案</w:t>
      </w:r>
      <w:r>
        <w:rPr>
          <w:rFonts w:hint="eastAsia" w:ascii="方正仿宋_GBK" w:hAnsi="仿宋" w:eastAsia="方正仿宋_GBK" w:cs="方正仿宋_GBK"/>
          <w:sz w:val="30"/>
          <w:szCs w:val="30"/>
        </w:rPr>
        <w:t>）</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、基层法律服务工作者代理的须符合</w:t>
      </w:r>
      <w:r>
        <w:rPr>
          <w:rFonts w:hint="eastAsia" w:ascii="方正仿宋_GBK" w:hAnsi="仿宋" w:eastAsia="方正仿宋_GBK" w:cs="方正仿宋_GBK"/>
          <w:color w:val="FF0000"/>
          <w:sz w:val="30"/>
          <w:szCs w:val="30"/>
        </w:rPr>
        <w:t>《基层法律服务工作者管理办法》第二十七条</w:t>
      </w:r>
      <w:r>
        <w:rPr>
          <w:rFonts w:hint="eastAsia" w:ascii="方正仿宋_GBK" w:hAnsi="仿宋" w:eastAsia="方正仿宋_GBK" w:cs="方正仿宋_GBK"/>
          <w:sz w:val="30"/>
          <w:szCs w:val="30"/>
        </w:rPr>
        <w:t>之规定，同时应提交以下材料：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□①基层法律服务所出具的介绍信原件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□②法律服务工作者执业证复印件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□③当事人的委托书</w:t>
      </w:r>
    </w:p>
    <w:p>
      <w:pPr>
        <w:rPr>
          <w:rFonts w:ascii="方正仿宋_GBK" w:hAnsi="仿宋" w:eastAsia="方正仿宋_GBK" w:cs="Times New Roman"/>
          <w:sz w:val="30"/>
          <w:szCs w:val="30"/>
        </w:rPr>
      </w:pP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、近亲属或监护人代理的，应提交以下材料：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□①户口簿复印件，或有关部门出具的亲属关系证明原件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、员工代理其所在单位的，应提交以下材料：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□①加盖单位公章的员工证明书原件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E</w:t>
      </w:r>
      <w:r>
        <w:rPr>
          <w:rFonts w:hint="eastAsia" w:ascii="方正仿宋_GBK" w:hAnsi="仿宋" w:eastAsia="方正仿宋_GBK" w:cs="方正仿宋_GBK"/>
          <w:sz w:val="30"/>
          <w:szCs w:val="30"/>
        </w:rPr>
        <w:t>、公民代理的，应提交以下材料：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□①代理人身份证复印件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□②当事人所在社区、单位推荐的公民担任诉讼代理人的，应当提交推荐材料和当事人属于该社区、单位的证明材料原件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□③有关社会团体推荐的公民担任诉讼代理人的，应当符合下列条件：</w:t>
      </w: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社会团体属于依法登记设立</w:t>
      </w:r>
      <w:r>
        <w:rPr>
          <w:rFonts w:ascii="方正仿宋_GBK" w:hAnsi="仿宋" w:eastAsia="方正仿宋_GBK" w:cs="方正仿宋_GBK"/>
          <w:sz w:val="30"/>
          <w:szCs w:val="30"/>
        </w:rPr>
        <w:t>或者依法登记设立的非法人组织</w:t>
      </w: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被代理人属于该社会团体的成员，或者当事人一方住所地位于该社会团体的活动地域；</w:t>
      </w: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代理事务属于该社会团体章程载明的业务范围；</w:t>
      </w: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被推荐的公民是该社会团体的负责人或者与该社会团体有合法劳动人事关系的工作人员。</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4.</w:t>
      </w:r>
      <w:r>
        <w:rPr>
          <w:rFonts w:hint="eastAsia" w:ascii="方正仿宋_GBK" w:hAnsi="仿宋" w:eastAsia="方正仿宋_GBK" w:cs="方正仿宋_GBK"/>
          <w:b/>
          <w:bCs/>
          <w:sz w:val="30"/>
          <w:szCs w:val="30"/>
        </w:rPr>
        <w:t>证据材料</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5.</w:t>
      </w:r>
      <w:r>
        <w:rPr>
          <w:rFonts w:hint="eastAsia" w:ascii="方正仿宋_GBK" w:hAnsi="仿宋" w:eastAsia="方正仿宋_GBK" w:cs="方正仿宋_GBK"/>
          <w:b/>
          <w:bCs/>
          <w:sz w:val="30"/>
          <w:szCs w:val="30"/>
        </w:rPr>
        <w:t>证据材料清单</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详细列明所提交材料的名称、页数，并在备注栏注明各项材料是原件或复印件及证明内容</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6.</w:t>
      </w:r>
      <w:r>
        <w:rPr>
          <w:rFonts w:hint="eastAsia"/>
        </w:rPr>
        <w:t xml:space="preserve"> </w:t>
      </w:r>
      <w:r>
        <w:rPr>
          <w:rFonts w:hint="eastAsia" w:ascii="方正仿宋_GBK" w:hAnsi="仿宋" w:eastAsia="方正仿宋_GBK" w:cs="方正仿宋_GBK"/>
          <w:b/>
          <w:bCs/>
          <w:sz w:val="30"/>
          <w:szCs w:val="30"/>
        </w:rPr>
        <w:t>原告（申请人）诉讼文书送达地址确认书、原告（申请人）提供被告（被申请人）送达地址线索书、诚信诉讼承诺书</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从</w:t>
      </w:r>
      <w:r>
        <w:rPr>
          <w:rFonts w:hint="eastAsia" w:ascii="方正仿宋_GBK" w:hAnsi="仿宋" w:eastAsia="方正仿宋_GBK" w:cs="方正仿宋_GBK"/>
          <w:color w:val="FF0000"/>
          <w:sz w:val="30"/>
          <w:szCs w:val="30"/>
        </w:rPr>
        <w:t>本院官网及本院微信公众号</w:t>
      </w:r>
      <w:r>
        <w:rPr>
          <w:rFonts w:hint="eastAsia" w:ascii="方正仿宋_GBK" w:hAnsi="仿宋" w:eastAsia="方正仿宋_GBK" w:cs="方正仿宋_GBK"/>
          <w:sz w:val="30"/>
          <w:szCs w:val="30"/>
        </w:rPr>
        <w:t>下载相应文书模板，详细填写各方当事人的联系地址及联系方式并签字确认。当事人联系信息真实填写，不得与代理人联系信息雷同。</w:t>
      </w:r>
    </w:p>
    <w:p>
      <w:pPr>
        <w:pStyle w:val="9"/>
        <w:numPr>
          <w:ilvl w:val="0"/>
          <w:numId w:val="1"/>
        </w:numPr>
        <w:ind w:firstLineChars="0"/>
        <w:rPr>
          <w:rFonts w:cs="Times New Roman"/>
        </w:rPr>
      </w:pPr>
      <w:r>
        <w:rPr>
          <w:rFonts w:ascii="方正仿宋_GBK" w:hAnsi="仿宋" w:eastAsia="方正仿宋_GBK" w:cs="方正仿宋_GBK"/>
          <w:b/>
          <w:bCs/>
          <w:sz w:val="30"/>
          <w:szCs w:val="30"/>
        </w:rPr>
        <w:t>7.</w:t>
      </w:r>
      <w:r>
        <w:rPr>
          <w:rFonts w:hint="eastAsia" w:ascii="方正仿宋_GBK" w:hAnsi="仿宋" w:eastAsia="方正仿宋_GBK" w:cs="方正仿宋_GBK"/>
          <w:b/>
          <w:bCs/>
          <w:sz w:val="30"/>
          <w:szCs w:val="30"/>
        </w:rPr>
        <w:t>管辖证明材料（或书面说明）</w:t>
      </w:r>
    </w:p>
    <w:p>
      <w:pPr>
        <w:pStyle w:val="9"/>
        <w:numPr>
          <w:ilvl w:val="0"/>
          <w:numId w:val="1"/>
        </w:numPr>
        <w:ind w:firstLineChars="0"/>
        <w:rPr>
          <w:rFonts w:cs="Times New Roman"/>
        </w:rPr>
      </w:pPr>
      <w:r>
        <w:rPr>
          <w:rFonts w:hint="eastAsia" w:ascii="方正仿宋_GBK" w:hAnsi="仿宋" w:eastAsia="方正仿宋_GBK" w:cs="方正仿宋_GBK"/>
          <w:sz w:val="30"/>
          <w:szCs w:val="30"/>
        </w:rPr>
        <w:t>级别管辖范围一般包含但不限于以下情形之一：</w:t>
      </w:r>
      <w:r>
        <w:t xml:space="preserve"> </w:t>
      </w:r>
    </w:p>
    <w:p>
      <w:pPr>
        <w:pStyle w:val="9"/>
        <w:numPr>
          <w:ilvl w:val="0"/>
          <w:numId w:val="1"/>
        </w:numPr>
        <w:ind w:firstLineChars="0"/>
        <w:rPr>
          <w:rFonts w:ascii="仿宋_GB2312" w:eastAsia="仿宋_GB2312" w:cs="Times New Roman"/>
          <w:b/>
          <w:bCs/>
          <w:sz w:val="30"/>
          <w:szCs w:val="30"/>
        </w:rPr>
      </w:pPr>
      <w:r>
        <w:rPr>
          <w:rFonts w:hint="eastAsia" w:ascii="仿宋_GB2312" w:eastAsia="仿宋_GB2312" w:cs="仿宋_GB2312"/>
          <w:b/>
          <w:bCs/>
          <w:sz w:val="30"/>
          <w:szCs w:val="30"/>
        </w:rPr>
        <w:t>（</w:t>
      </w:r>
      <w:r>
        <w:rPr>
          <w:rFonts w:ascii="仿宋_GB2312" w:eastAsia="仿宋_GB2312" w:cs="仿宋_GB2312"/>
          <w:b/>
          <w:bCs/>
          <w:sz w:val="30"/>
          <w:szCs w:val="30"/>
        </w:rPr>
        <w:t>1</w:t>
      </w:r>
      <w:r>
        <w:rPr>
          <w:rFonts w:hint="eastAsia" w:ascii="仿宋_GB2312" w:eastAsia="仿宋_GB2312" w:cs="仿宋_GB2312"/>
          <w:b/>
          <w:bCs/>
          <w:sz w:val="30"/>
          <w:szCs w:val="30"/>
        </w:rPr>
        <w:t>）民商事一审（不含知识产权）</w:t>
      </w:r>
    </w:p>
    <w:p>
      <w:pPr>
        <w:rPr>
          <w:rFonts w:ascii="方正仿宋_GBK" w:hAnsi="仿宋" w:eastAsia="方正仿宋_GBK" w:cs="方正仿宋_GBK"/>
          <w:sz w:val="30"/>
          <w:szCs w:val="30"/>
        </w:rPr>
      </w:pPr>
      <w:r>
        <w:rPr>
          <w:rFonts w:hint="eastAsia" w:ascii="仿宋_GB2312" w:hAnsi="仿宋" w:eastAsia="仿宋_GB2312" w:cs="仿宋_GB2312"/>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①诉讼标的：</w:t>
      </w:r>
    </w:p>
    <w:p>
      <w:pPr>
        <w:ind w:firstLine="450" w:firstLineChars="150"/>
        <w:rPr>
          <w:rFonts w:ascii="方正仿宋_GBK" w:hAnsi="仿宋" w:eastAsia="方正仿宋_GBK" w:cs="方正仿宋_GBK"/>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）当事人均为广东省内：5亿至</w:t>
      </w:r>
      <w:r>
        <w:rPr>
          <w:rFonts w:ascii="方正仿宋_GBK" w:hAnsi="仿宋" w:eastAsia="方正仿宋_GBK" w:cs="方正仿宋_GBK"/>
          <w:sz w:val="30"/>
          <w:szCs w:val="30"/>
        </w:rPr>
        <w:t>50</w:t>
      </w:r>
      <w:r>
        <w:rPr>
          <w:rFonts w:hint="eastAsia" w:ascii="方正仿宋_GBK" w:hAnsi="仿宋" w:eastAsia="方正仿宋_GBK" w:cs="方正仿宋_GBK"/>
          <w:sz w:val="30"/>
          <w:szCs w:val="30"/>
        </w:rPr>
        <w:t>亿，一方当事人外省市的，1亿至</w:t>
      </w:r>
      <w:r>
        <w:rPr>
          <w:rFonts w:ascii="方正仿宋_GBK" w:hAnsi="仿宋" w:eastAsia="方正仿宋_GBK" w:cs="方正仿宋_GBK"/>
          <w:sz w:val="30"/>
          <w:szCs w:val="30"/>
        </w:rPr>
        <w:t>50</w:t>
      </w:r>
      <w:r>
        <w:rPr>
          <w:rFonts w:hint="eastAsia" w:ascii="方正仿宋_GBK" w:hAnsi="仿宋" w:eastAsia="方正仿宋_GBK" w:cs="方正仿宋_GBK"/>
          <w:sz w:val="30"/>
          <w:szCs w:val="30"/>
        </w:rPr>
        <w:t>亿；</w:t>
      </w: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）涉外涉港澳台的民商事案件：5000万至50亿；</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②虚假陈述证券民事赔偿案件和期货纠纷案件；</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③与中国证券登记结算有限责任公司深圳分公司履行职能相关的民商事纠纷案件；</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④与深圳证券交易所履行监管职能相关的民商事纠纷案件；</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⑤</w:t>
      </w:r>
      <w:r>
        <w:rPr>
          <w:rFonts w:ascii="方正仿宋_GBK" w:hAnsi="仿宋" w:eastAsia="方正仿宋_GBK" w:cs="方正仿宋_GBK"/>
          <w:sz w:val="30"/>
          <w:szCs w:val="30"/>
        </w:rPr>
        <w:t>涉及我院正在审理</w:t>
      </w:r>
      <w:r>
        <w:rPr>
          <w:rFonts w:hint="eastAsia" w:ascii="方正仿宋_GBK" w:hAnsi="仿宋" w:eastAsia="方正仿宋_GBK" w:cs="方正仿宋_GBK"/>
          <w:sz w:val="30"/>
          <w:szCs w:val="30"/>
        </w:rPr>
        <w:t>破产案件</w:t>
      </w:r>
      <w:r>
        <w:rPr>
          <w:rFonts w:ascii="方正仿宋_GBK" w:hAnsi="仿宋" w:eastAsia="方正仿宋_GBK" w:cs="方正仿宋_GBK"/>
          <w:sz w:val="30"/>
          <w:szCs w:val="30"/>
        </w:rPr>
        <w:t>的破产衍生诉讼</w:t>
      </w:r>
      <w:r>
        <w:rPr>
          <w:rFonts w:hint="eastAsia" w:ascii="方正仿宋_GBK" w:hAnsi="仿宋" w:eastAsia="方正仿宋_GBK" w:cs="方正仿宋_GBK"/>
          <w:sz w:val="30"/>
          <w:szCs w:val="30"/>
        </w:rPr>
        <w:t>（除劳动争议类案件，含职工破产债权确认纠纷）;</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⑥执行案件异议之诉案件（本院受理的执行异议）。</w:t>
      </w:r>
    </w:p>
    <w:p>
      <w:pPr>
        <w:rPr>
          <w:rFonts w:ascii="仿宋_GB2312" w:hAnsi="宋体" w:eastAsia="仿宋_GB2312" w:cs="Times New Roman"/>
          <w:sz w:val="30"/>
          <w:szCs w:val="30"/>
        </w:rPr>
      </w:pPr>
      <w:r>
        <w:rPr>
          <w:rFonts w:hint="eastAsia" w:ascii="仿宋_GB2312" w:hAnsi="宋体" w:eastAsia="仿宋_GB2312" w:cs="仿宋_GB2312"/>
          <w:sz w:val="30"/>
          <w:szCs w:val="30"/>
        </w:rPr>
        <w:t>□</w:t>
      </w:r>
      <w:r>
        <w:rPr>
          <w:rFonts w:ascii="仿宋_GB2312" w:hAnsi="宋体" w:eastAsia="仿宋_GB2312" w:cs="Times New Roman"/>
          <w:sz w:val="30"/>
          <w:szCs w:val="30"/>
        </w:rPr>
        <w:tab/>
      </w:r>
      <w:r>
        <w:rPr>
          <w:rFonts w:hint="eastAsia" w:ascii="仿宋_GB2312" w:hAnsi="宋体" w:eastAsia="仿宋_GB2312" w:cs="仿宋_GB2312"/>
          <w:b/>
          <w:bCs/>
          <w:sz w:val="30"/>
          <w:szCs w:val="30"/>
        </w:rPr>
        <w:t>（</w:t>
      </w:r>
      <w:r>
        <w:rPr>
          <w:rFonts w:ascii="仿宋_GB2312" w:hAnsi="宋体" w:eastAsia="仿宋_GB2312" w:cs="仿宋_GB2312"/>
          <w:b/>
          <w:bCs/>
          <w:sz w:val="30"/>
          <w:szCs w:val="30"/>
        </w:rPr>
        <w:t>2</w:t>
      </w:r>
      <w:r>
        <w:rPr>
          <w:rFonts w:hint="eastAsia" w:ascii="仿宋_GB2312" w:hAnsi="宋体" w:eastAsia="仿宋_GB2312" w:cs="仿宋_GB2312"/>
          <w:b/>
          <w:bCs/>
          <w:sz w:val="30"/>
          <w:szCs w:val="30"/>
        </w:rPr>
        <w:t>）民商事一审（知识产权类）</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①诉讼标的：</w:t>
      </w:r>
      <w:r>
        <w:rPr>
          <w:rFonts w:ascii="方正仿宋_GBK" w:hAnsi="仿宋" w:eastAsia="方正仿宋_GBK" w:cs="方正仿宋_GBK"/>
          <w:sz w:val="30"/>
          <w:szCs w:val="30"/>
        </w:rPr>
        <w:t>1000</w:t>
      </w:r>
      <w:r>
        <w:rPr>
          <w:rFonts w:hint="eastAsia" w:ascii="方正仿宋_GBK" w:hAnsi="仿宋" w:eastAsia="方正仿宋_GBK" w:cs="方正仿宋_GBK"/>
          <w:sz w:val="30"/>
          <w:szCs w:val="30"/>
        </w:rPr>
        <w:t>万至</w:t>
      </w:r>
      <w:r>
        <w:rPr>
          <w:rFonts w:ascii="方正仿宋_GBK" w:hAnsi="仿宋" w:eastAsia="方正仿宋_GBK" w:cs="方正仿宋_GBK"/>
          <w:sz w:val="30"/>
          <w:szCs w:val="30"/>
        </w:rPr>
        <w:t>50</w:t>
      </w:r>
      <w:r>
        <w:rPr>
          <w:rFonts w:hint="eastAsia" w:ascii="方正仿宋_GBK" w:hAnsi="仿宋" w:eastAsia="方正仿宋_GBK" w:cs="方正仿宋_GBK"/>
          <w:sz w:val="30"/>
          <w:szCs w:val="30"/>
        </w:rPr>
        <w:t>亿；</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②发明专利、实用新型专利、植物新品种、集成电路布图涉及、技术秘密、计算机软件的权属、侵权纠纷;</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 ③驰名商标认定;</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 ④垄断纠纷。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703D1"/>
    <w:multiLevelType w:val="multilevel"/>
    <w:tmpl w:val="2A0703D1"/>
    <w:lvl w:ilvl="0" w:tentative="0">
      <w:start w:val="0"/>
      <w:numFmt w:val="bullet"/>
      <w:lvlText w:val="□"/>
      <w:lvlJc w:val="left"/>
      <w:pPr>
        <w:ind w:left="360" w:hanging="360"/>
      </w:pPr>
      <w:rPr>
        <w:rFonts w:hint="eastAsia" w:ascii="方正仿宋_GBK" w:hAnsi="仿宋" w:eastAsia="方正仿宋_GBK"/>
        <w:b/>
        <w:bCs/>
        <w:sz w:val="30"/>
        <w:szCs w:val="3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5FD1"/>
    <w:rsid w:val="000145FA"/>
    <w:rsid w:val="00022A28"/>
    <w:rsid w:val="00027859"/>
    <w:rsid w:val="00036640"/>
    <w:rsid w:val="00040B67"/>
    <w:rsid w:val="00050F76"/>
    <w:rsid w:val="00066BCB"/>
    <w:rsid w:val="00076F83"/>
    <w:rsid w:val="000840F6"/>
    <w:rsid w:val="000A329F"/>
    <w:rsid w:val="000B27C8"/>
    <w:rsid w:val="000E3DE0"/>
    <w:rsid w:val="000E45A9"/>
    <w:rsid w:val="00114D46"/>
    <w:rsid w:val="00124DF7"/>
    <w:rsid w:val="00125CAE"/>
    <w:rsid w:val="0017334C"/>
    <w:rsid w:val="001C468E"/>
    <w:rsid w:val="001C499A"/>
    <w:rsid w:val="001D35AF"/>
    <w:rsid w:val="001F0CAF"/>
    <w:rsid w:val="001F3922"/>
    <w:rsid w:val="00272207"/>
    <w:rsid w:val="00287BF2"/>
    <w:rsid w:val="00295786"/>
    <w:rsid w:val="002E5259"/>
    <w:rsid w:val="002F7C17"/>
    <w:rsid w:val="00306627"/>
    <w:rsid w:val="00321425"/>
    <w:rsid w:val="00331778"/>
    <w:rsid w:val="003A1B5D"/>
    <w:rsid w:val="003A46F5"/>
    <w:rsid w:val="003C1CD4"/>
    <w:rsid w:val="003C331C"/>
    <w:rsid w:val="00400697"/>
    <w:rsid w:val="0040431E"/>
    <w:rsid w:val="004238DB"/>
    <w:rsid w:val="00423C45"/>
    <w:rsid w:val="00432281"/>
    <w:rsid w:val="00442446"/>
    <w:rsid w:val="00450CFC"/>
    <w:rsid w:val="00467CD2"/>
    <w:rsid w:val="00472CE4"/>
    <w:rsid w:val="004C3B77"/>
    <w:rsid w:val="005033D3"/>
    <w:rsid w:val="00515E9F"/>
    <w:rsid w:val="00523305"/>
    <w:rsid w:val="00573A8C"/>
    <w:rsid w:val="00580700"/>
    <w:rsid w:val="005860DF"/>
    <w:rsid w:val="00590736"/>
    <w:rsid w:val="005A4A0B"/>
    <w:rsid w:val="005B5BCE"/>
    <w:rsid w:val="005C421E"/>
    <w:rsid w:val="005C7CDA"/>
    <w:rsid w:val="005E5BEC"/>
    <w:rsid w:val="005F2940"/>
    <w:rsid w:val="006322B1"/>
    <w:rsid w:val="006366EC"/>
    <w:rsid w:val="00636A55"/>
    <w:rsid w:val="00641228"/>
    <w:rsid w:val="00650A17"/>
    <w:rsid w:val="00660E09"/>
    <w:rsid w:val="00694BD0"/>
    <w:rsid w:val="006C208E"/>
    <w:rsid w:val="006D16B6"/>
    <w:rsid w:val="006D6D8D"/>
    <w:rsid w:val="006E7EA3"/>
    <w:rsid w:val="00703D09"/>
    <w:rsid w:val="00704A36"/>
    <w:rsid w:val="007215B7"/>
    <w:rsid w:val="007416A1"/>
    <w:rsid w:val="007541E9"/>
    <w:rsid w:val="00765FD1"/>
    <w:rsid w:val="007B1856"/>
    <w:rsid w:val="007D1FEC"/>
    <w:rsid w:val="007F17BD"/>
    <w:rsid w:val="007F5FA0"/>
    <w:rsid w:val="007F6C15"/>
    <w:rsid w:val="008339BF"/>
    <w:rsid w:val="0085211B"/>
    <w:rsid w:val="00892C88"/>
    <w:rsid w:val="008B0E9A"/>
    <w:rsid w:val="008D5FBA"/>
    <w:rsid w:val="008E6391"/>
    <w:rsid w:val="008F6DFB"/>
    <w:rsid w:val="00920D2A"/>
    <w:rsid w:val="009359FD"/>
    <w:rsid w:val="009846D6"/>
    <w:rsid w:val="009A2118"/>
    <w:rsid w:val="009B06C3"/>
    <w:rsid w:val="009C0C21"/>
    <w:rsid w:val="009E199B"/>
    <w:rsid w:val="009E379C"/>
    <w:rsid w:val="009E4F8F"/>
    <w:rsid w:val="00A06D1B"/>
    <w:rsid w:val="00A73135"/>
    <w:rsid w:val="00AA580A"/>
    <w:rsid w:val="00AB0CAF"/>
    <w:rsid w:val="00AD5426"/>
    <w:rsid w:val="00B01F8A"/>
    <w:rsid w:val="00B1410C"/>
    <w:rsid w:val="00B32D3D"/>
    <w:rsid w:val="00B947C6"/>
    <w:rsid w:val="00C10C74"/>
    <w:rsid w:val="00C122DE"/>
    <w:rsid w:val="00C22DD9"/>
    <w:rsid w:val="00C2735D"/>
    <w:rsid w:val="00CB44D4"/>
    <w:rsid w:val="00CE6697"/>
    <w:rsid w:val="00D042E5"/>
    <w:rsid w:val="00D23FE9"/>
    <w:rsid w:val="00D36CC9"/>
    <w:rsid w:val="00D45828"/>
    <w:rsid w:val="00D509C2"/>
    <w:rsid w:val="00DA43A9"/>
    <w:rsid w:val="00DA4C56"/>
    <w:rsid w:val="00DA6103"/>
    <w:rsid w:val="00DC2B3F"/>
    <w:rsid w:val="00DC4B11"/>
    <w:rsid w:val="00DD4528"/>
    <w:rsid w:val="00E170D3"/>
    <w:rsid w:val="00E275D7"/>
    <w:rsid w:val="00E3553A"/>
    <w:rsid w:val="00E81787"/>
    <w:rsid w:val="00EA5293"/>
    <w:rsid w:val="00EB2ABC"/>
    <w:rsid w:val="00EE4F02"/>
    <w:rsid w:val="00F20BC8"/>
    <w:rsid w:val="00F221D7"/>
    <w:rsid w:val="00F25486"/>
    <w:rsid w:val="00F33798"/>
    <w:rsid w:val="00F43E82"/>
    <w:rsid w:val="00F65283"/>
    <w:rsid w:val="00FA58B7"/>
    <w:rsid w:val="1A1A2CB5"/>
    <w:rsid w:val="1F3A551E"/>
    <w:rsid w:val="6F671AB9"/>
    <w:rsid w:val="FBFD21A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Calibri"/>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widowControl w:val="0"/>
      <w:tabs>
        <w:tab w:val="center" w:pos="4153"/>
        <w:tab w:val="right" w:pos="8306"/>
      </w:tabs>
      <w:snapToGrid w:val="0"/>
    </w:pPr>
    <w:rPr>
      <w:sz w:val="18"/>
      <w:szCs w:val="18"/>
    </w:rPr>
  </w:style>
  <w:style w:type="paragraph" w:styleId="3">
    <w:name w:val="header"/>
    <w:basedOn w:val="1"/>
    <w:link w:val="7"/>
    <w:qFormat/>
    <w:uiPriority w:val="99"/>
    <w:pPr>
      <w:widowControl w:val="0"/>
      <w:pBdr>
        <w:bottom w:val="single" w:color="auto" w:sz="6" w:space="1"/>
      </w:pBdr>
      <w:tabs>
        <w:tab w:val="center" w:pos="4153"/>
        <w:tab w:val="right" w:pos="8306"/>
      </w:tabs>
      <w:snapToGrid w:val="0"/>
      <w:jc w:val="center"/>
    </w:pPr>
    <w:rPr>
      <w:sz w:val="18"/>
      <w:szCs w:val="18"/>
    </w:rPr>
  </w:style>
  <w:style w:type="character" w:styleId="6">
    <w:name w:val="Hyperlink"/>
    <w:qFormat/>
    <w:uiPriority w:val="99"/>
    <w:rPr>
      <w:color w:val="0000FF"/>
      <w:u w:val="single"/>
    </w:rPr>
  </w:style>
  <w:style w:type="character" w:customStyle="1" w:styleId="7">
    <w:name w:val="页眉 Char"/>
    <w:link w:val="3"/>
    <w:qFormat/>
    <w:locked/>
    <w:uiPriority w:val="99"/>
    <w:rPr>
      <w:sz w:val="18"/>
      <w:szCs w:val="18"/>
    </w:rPr>
  </w:style>
  <w:style w:type="character" w:customStyle="1" w:styleId="8">
    <w:name w:val="页脚 Char"/>
    <w:link w:val="2"/>
    <w:qFormat/>
    <w:locked/>
    <w:uiPriority w:val="99"/>
    <w:rPr>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admin</Company>
  <Pages>4</Pages>
  <Words>242</Words>
  <Characters>1381</Characters>
  <Lines>11</Lines>
  <Paragraphs>3</Paragraphs>
  <TotalTime>0</TotalTime>
  <ScaleCrop>false</ScaleCrop>
  <LinksUpToDate>false</LinksUpToDate>
  <CharactersWithSpaces>1620</CharactersWithSpaces>
  <Application>WPS Office_11.8.2.12380_F1E327BC-269C-435d-A152-05C5408002CA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2018-11-23T01:35:00Z</dcterms:created>
  <dc:creator>郭敏君</dc:creator>
  <cp:lastModifiedBy>luoyingJ30</cp:lastModifiedBy>
  <cp:lastPrinted>2020-06-02T23:45:00Z</cp:lastPrinted>
  <dcterms:modified xsi:type="dcterms:W3CDTF">2025-10-31T18:29:32Z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2052-11.8.2.12380</vt:lpwstr>
  </property>
  <property fmtid="{D5CDD505-2E9C-101B-9397-08002B2CF9AE}" pid="3" name="ICV">
    <vt:lpwstr>03D0F4B564954965BC73BA099509A128</vt:lpwstr>
  </property>
</Properties>
</file>